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7C" w:rsidRDefault="00855DF0" w:rsidP="001C5E06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迁安市人民政府</w:t>
      </w:r>
    </w:p>
    <w:p w:rsidR="0014157C" w:rsidRDefault="00855DF0" w:rsidP="001C5E06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关于2016年度财政决算（草案）的</w:t>
      </w:r>
    </w:p>
    <w:p w:rsidR="0014157C" w:rsidRDefault="00855DF0" w:rsidP="001C5E06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         告</w:t>
      </w:r>
    </w:p>
    <w:p w:rsidR="0014157C" w:rsidRPr="001C5E06" w:rsidRDefault="00855DF0" w:rsidP="00334021">
      <w:pPr>
        <w:spacing w:beforeLines="100" w:line="560" w:lineRule="exact"/>
        <w:jc w:val="center"/>
        <w:rPr>
          <w:rFonts w:ascii="楷体_GB2312" w:eastAsia="楷体_GB2312" w:hAnsi="楷体"/>
          <w:sz w:val="32"/>
          <w:szCs w:val="32"/>
        </w:rPr>
      </w:pPr>
      <w:r w:rsidRPr="001C5E06">
        <w:rPr>
          <w:rFonts w:ascii="楷体_GB2312" w:eastAsia="楷体_GB2312" w:hAnsi="楷体" w:hint="eastAsia"/>
          <w:sz w:val="32"/>
          <w:szCs w:val="32"/>
        </w:rPr>
        <w:t>——2017年7</w:t>
      </w:r>
      <w:r w:rsidR="001C5E06">
        <w:rPr>
          <w:rFonts w:ascii="楷体_GB2312" w:eastAsia="楷体_GB2312" w:hAnsi="楷体" w:hint="eastAsia"/>
          <w:sz w:val="32"/>
          <w:szCs w:val="32"/>
        </w:rPr>
        <w:t>月</w:t>
      </w:r>
      <w:r w:rsidR="00C5087B">
        <w:rPr>
          <w:rFonts w:ascii="楷体_GB2312" w:eastAsia="楷体_GB2312" w:hAnsi="楷体" w:hint="eastAsia"/>
          <w:sz w:val="32"/>
          <w:szCs w:val="32"/>
        </w:rPr>
        <w:t>27日</w:t>
      </w:r>
      <w:r w:rsidR="001C5E06">
        <w:rPr>
          <w:rFonts w:ascii="楷体_GB2312" w:eastAsia="楷体_GB2312" w:hAnsi="楷体" w:hint="eastAsia"/>
          <w:sz w:val="32"/>
          <w:szCs w:val="32"/>
        </w:rPr>
        <w:t>在市六届人大常委会第四</w:t>
      </w:r>
      <w:r w:rsidRPr="001C5E06">
        <w:rPr>
          <w:rFonts w:ascii="楷体_GB2312" w:eastAsia="楷体_GB2312" w:hAnsi="楷体" w:hint="eastAsia"/>
          <w:sz w:val="32"/>
          <w:szCs w:val="32"/>
        </w:rPr>
        <w:t>次会议上</w:t>
      </w:r>
    </w:p>
    <w:p w:rsidR="0014157C" w:rsidRPr="001C5E06" w:rsidRDefault="00855DF0" w:rsidP="001C5E06">
      <w:pPr>
        <w:spacing w:line="560" w:lineRule="exact"/>
        <w:jc w:val="center"/>
        <w:rPr>
          <w:rFonts w:ascii="楷体_GB2312" w:eastAsia="楷体_GB2312" w:hAnsi="楷体"/>
          <w:sz w:val="32"/>
          <w:szCs w:val="32"/>
        </w:rPr>
      </w:pPr>
      <w:r w:rsidRPr="001C5E06">
        <w:rPr>
          <w:rFonts w:ascii="楷体_GB2312" w:eastAsia="楷体_GB2312" w:hAnsi="楷体" w:hint="eastAsia"/>
          <w:sz w:val="32"/>
          <w:szCs w:val="32"/>
        </w:rPr>
        <w:t>市财政局局长  孔祥会</w:t>
      </w:r>
    </w:p>
    <w:p w:rsidR="0014157C" w:rsidRDefault="0014157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宋体" w:eastAsia="仿宋_GB2312" w:hAnsi="宋体" w:cs="黑体"/>
          <w:bCs/>
          <w:sz w:val="32"/>
          <w:szCs w:val="32"/>
          <w:lang w:val="zh-CN"/>
        </w:rPr>
      </w:pPr>
    </w:p>
    <w:p w:rsidR="0014157C" w:rsidRDefault="00855DF0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主任、各位副主任、各位委员：</w:t>
      </w:r>
    </w:p>
    <w:p w:rsidR="0014157C" w:rsidRDefault="00855DF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lang w:val="zh-CN"/>
        </w:rPr>
        <w:t>受市政府委托，我向市人大常委会作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2016年度财政决算（草案）的报告，请予审议。</w:t>
      </w:r>
    </w:p>
    <w:p w:rsidR="0014157C" w:rsidRDefault="00855DF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</w:t>
      </w:r>
      <w:r>
        <w:rPr>
          <w:rFonts w:eastAsia="仿宋_GB2312"/>
          <w:sz w:val="32"/>
          <w:szCs w:val="32"/>
        </w:rPr>
        <w:t>，面对严峻复杂的经济形势、异常尖锐的收支矛盾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艰巨繁重的改革任务，在市委</w:t>
      </w:r>
      <w:r>
        <w:rPr>
          <w:rFonts w:eastAsia="仿宋_GB2312" w:hint="eastAsia"/>
          <w:sz w:val="32"/>
          <w:szCs w:val="32"/>
        </w:rPr>
        <w:t>、市政府</w:t>
      </w:r>
      <w:r>
        <w:rPr>
          <w:rFonts w:eastAsia="仿宋_GB2312"/>
          <w:sz w:val="32"/>
          <w:szCs w:val="32"/>
        </w:rPr>
        <w:t>的正确领导和市人大的监督支持下，</w:t>
      </w:r>
      <w:r>
        <w:rPr>
          <w:rFonts w:eastAsia="仿宋_GB2312" w:hint="eastAsia"/>
          <w:sz w:val="32"/>
          <w:szCs w:val="32"/>
        </w:rPr>
        <w:t>全市上下</w:t>
      </w:r>
      <w:r>
        <w:rPr>
          <w:rFonts w:eastAsia="仿宋_GB2312"/>
          <w:sz w:val="32"/>
          <w:szCs w:val="32"/>
        </w:rPr>
        <w:t>认真落实相关财政政策措施，发挥财政支持和引导作用，不断增强预</w:t>
      </w:r>
      <w:r>
        <w:rPr>
          <w:rFonts w:eastAsia="仿宋_GB2312" w:hint="eastAsia"/>
          <w:sz w:val="32"/>
          <w:szCs w:val="32"/>
        </w:rPr>
        <w:t>决算管理</w:t>
      </w:r>
      <w:r>
        <w:rPr>
          <w:rFonts w:eastAsia="仿宋_GB2312"/>
          <w:sz w:val="32"/>
          <w:szCs w:val="32"/>
        </w:rPr>
        <w:t>的科学性与规范性，有效防范财政风险，确保财政平稳运行。</w:t>
      </w:r>
      <w:r>
        <w:rPr>
          <w:rFonts w:eastAsia="仿宋_GB2312" w:hint="eastAsia"/>
          <w:sz w:val="32"/>
          <w:szCs w:val="32"/>
        </w:rPr>
        <w:t>具体情况汇报如下：</w:t>
      </w:r>
    </w:p>
    <w:p w:rsidR="0014157C" w:rsidRDefault="00855DF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一、2016年财政决算情况</w:t>
      </w:r>
    </w:p>
    <w:p w:rsidR="00AC624C" w:rsidRDefault="00AB498B" w:rsidP="00AB498B">
      <w:pPr>
        <w:spacing w:line="560" w:lineRule="exact"/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(一)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一般公共预算收支决算情况</w:t>
      </w:r>
    </w:p>
    <w:p w:rsidR="0014157C" w:rsidRDefault="00855DF0" w:rsidP="00AC6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年初批准一般公共预算收入362000万元，调整预算后一般公共预算收入362217万元</w:t>
      </w:r>
      <w:r w:rsidR="0062164A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年初批准本级一般公共预算支出397862万元，调整预算后本级一般预算支出397096万元。决算结果：</w:t>
      </w:r>
      <w:r w:rsidR="0062164A">
        <w:rPr>
          <w:rFonts w:ascii="仿宋_GB2312" w:eastAsia="仿宋_GB2312" w:hint="eastAsia"/>
          <w:sz w:val="32"/>
          <w:szCs w:val="32"/>
        </w:rPr>
        <w:t>一般公共预算收入完成362809万元，占调整预算的100.2%，</w:t>
      </w:r>
      <w:r>
        <w:rPr>
          <w:rFonts w:ascii="仿宋_GB2312" w:eastAsia="仿宋_GB2312" w:hint="eastAsia"/>
          <w:sz w:val="32"/>
          <w:szCs w:val="32"/>
        </w:rPr>
        <w:t>加上级返还补助收入22381万元、转移支付收入191843万元、上年结余</w:t>
      </w:r>
      <w:r>
        <w:rPr>
          <w:rFonts w:ascii="仿宋_GB2312" w:eastAsia="仿宋_GB2312" w:hint="eastAsia"/>
          <w:sz w:val="32"/>
          <w:szCs w:val="32"/>
        </w:rPr>
        <w:lastRenderedPageBreak/>
        <w:t>19566万元、债务转贷收入295929万元、调入资金23478万元、调入预算稳定调节基金23047万元，减上解支出28310万元</w:t>
      </w:r>
      <w:r w:rsidR="007F4E58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安排预算稳定调节基金15781万元、债务还本266929万元，等于一般公共预算可用财力628033万元。一般公共预算支出599658万元（比年初和调整支出增加的主要原因是决算支出含有上年结转、上级转移支付资金、预算稳定调节基金支出等），占支出预算指标的95.5%，年终结转28375万元。</w:t>
      </w:r>
    </w:p>
    <w:p w:rsidR="00AC624C" w:rsidRDefault="00AB498B" w:rsidP="00AB498B">
      <w:pPr>
        <w:spacing w:line="560" w:lineRule="exact"/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（二）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政府性基金预算收支决算情况</w:t>
      </w:r>
    </w:p>
    <w:p w:rsidR="0014157C" w:rsidRDefault="00855DF0" w:rsidP="00AC6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初批准政府性基金收入71900万元，调整预算后政府性基金收入52591万元；政府性基金支出71900万元，调整后政府性基金支出52591万元。决算结果：政府性基金收入完成54737万元，占调整预算的104.1%，加上级补助收入3994万元、上年结余24621万元、债务转贷收入126481万元，减债务还本支出126481万元、调出资金18333万元，等于政府性基金可用财力65019万元。政府性基金支出62890万元，占支出预算指标的96.7%，年终结转2129万元。</w:t>
      </w:r>
    </w:p>
    <w:p w:rsidR="00AC624C" w:rsidRDefault="00AB498B" w:rsidP="00AB498B">
      <w:pPr>
        <w:spacing w:line="560" w:lineRule="exact"/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国有资本经营预算收支决算情况</w:t>
      </w:r>
    </w:p>
    <w:p w:rsidR="0014157C" w:rsidRDefault="00855DF0" w:rsidP="00AC6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2016年我市无国有资本经营预算收入，所以未安排国有资本经营预算支出。在执行过程中，上级下达2016年工业企业结构调整专项奖补资金6022万元</w:t>
      </w:r>
      <w:r w:rsidR="007F4E58">
        <w:rPr>
          <w:rFonts w:ascii="仿宋_GB2312" w:eastAsia="仿宋_GB2312" w:hint="eastAsia"/>
          <w:sz w:val="32"/>
          <w:szCs w:val="32"/>
        </w:rPr>
        <w:t>。决算结果：</w:t>
      </w:r>
      <w:r>
        <w:rPr>
          <w:rFonts w:ascii="仿宋_GB2312" w:eastAsia="仿宋_GB2312" w:hint="eastAsia"/>
          <w:sz w:val="32"/>
          <w:szCs w:val="32"/>
        </w:rPr>
        <w:t>2016年国有资本经营预算支出6022万元，年终无结余。</w:t>
      </w:r>
    </w:p>
    <w:p w:rsidR="00AC624C" w:rsidRDefault="00AB498B" w:rsidP="00AB498B">
      <w:pPr>
        <w:spacing w:line="560" w:lineRule="exact"/>
        <w:ind w:firstLineChars="200" w:firstLine="643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（四）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社会保险基金预算收支决算情况</w:t>
      </w:r>
    </w:p>
    <w:p w:rsidR="0014157C" w:rsidRDefault="00855DF0" w:rsidP="00AC62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年初批准社会保险基金收入72700万元</w:t>
      </w:r>
      <w:r w:rsidR="00AC624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调整预算后社保基金收入67470</w:t>
      </w:r>
      <w:r w:rsidR="00AC624C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。决</w:t>
      </w:r>
      <w:r w:rsidR="00AC624C">
        <w:rPr>
          <w:rFonts w:ascii="仿宋_GB2312" w:eastAsia="仿宋_GB2312" w:hint="eastAsia"/>
          <w:sz w:val="32"/>
          <w:szCs w:val="32"/>
        </w:rPr>
        <w:t>算结果：</w:t>
      </w:r>
      <w:r>
        <w:rPr>
          <w:rFonts w:ascii="仿宋_GB2312" w:eastAsia="仿宋_GB2312" w:hint="eastAsia"/>
          <w:sz w:val="32"/>
          <w:szCs w:val="32"/>
        </w:rPr>
        <w:t>社保基金收入完成67631万元，占调整预算的100.2%；社会保险基金支出67631万元，年终无结余。</w:t>
      </w:r>
    </w:p>
    <w:p w:rsidR="0014157C" w:rsidRPr="00AB498B" w:rsidRDefault="00AB498B" w:rsidP="00AB498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AB498B">
        <w:rPr>
          <w:rFonts w:ascii="黑体" w:eastAsia="黑体" w:hint="eastAsia"/>
          <w:sz w:val="32"/>
          <w:szCs w:val="32"/>
        </w:rPr>
        <w:t>二、</w:t>
      </w:r>
      <w:r w:rsidR="00855DF0" w:rsidRPr="00AB498B">
        <w:rPr>
          <w:rFonts w:ascii="黑体" w:eastAsia="黑体" w:hint="eastAsia"/>
          <w:sz w:val="32"/>
          <w:szCs w:val="32"/>
        </w:rPr>
        <w:t>2016年预算执行结果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（一）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财政预算资金年终资产负债基本情况</w:t>
      </w:r>
    </w:p>
    <w:p w:rsidR="0014157C" w:rsidRDefault="00AB49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55DF0">
        <w:rPr>
          <w:rFonts w:ascii="仿宋_GB2312" w:eastAsia="仿宋_GB2312" w:hint="eastAsia"/>
          <w:sz w:val="32"/>
          <w:szCs w:val="32"/>
        </w:rPr>
        <w:t>2016年市本级资产类期末余额165148万元。其中，国库存款31036万元，其他财政存款13059万元，暂付款121053万元。</w:t>
      </w:r>
    </w:p>
    <w:p w:rsidR="0014157C" w:rsidRDefault="00AB49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55DF0">
        <w:rPr>
          <w:rFonts w:ascii="仿宋_GB2312" w:eastAsia="仿宋_GB2312" w:hint="eastAsia"/>
          <w:sz w:val="32"/>
          <w:szCs w:val="32"/>
        </w:rPr>
        <w:t>负债类期末余额</w:t>
      </w:r>
      <w:r w:rsidR="00B27D79">
        <w:rPr>
          <w:rFonts w:ascii="仿宋_GB2312" w:eastAsia="仿宋_GB2312" w:hint="eastAsia"/>
          <w:sz w:val="32"/>
          <w:szCs w:val="32"/>
        </w:rPr>
        <w:t>117863</w:t>
      </w:r>
      <w:r w:rsidR="00855DF0">
        <w:rPr>
          <w:rFonts w:ascii="仿宋_GB2312" w:eastAsia="仿宋_GB2312" w:hint="eastAsia"/>
          <w:sz w:val="32"/>
          <w:szCs w:val="32"/>
        </w:rPr>
        <w:t>万元。其中，暂存款135604万元，与上级往来</w:t>
      </w:r>
      <w:r w:rsidR="00B27D79">
        <w:rPr>
          <w:rFonts w:ascii="仿宋_GB2312" w:eastAsia="仿宋_GB2312" w:hint="eastAsia"/>
          <w:sz w:val="32"/>
          <w:szCs w:val="32"/>
        </w:rPr>
        <w:t>-17741</w:t>
      </w:r>
      <w:r w:rsidR="00855DF0">
        <w:rPr>
          <w:rFonts w:ascii="仿宋_GB2312" w:eastAsia="仿宋_GB2312" w:hint="eastAsia"/>
          <w:sz w:val="32"/>
          <w:szCs w:val="32"/>
        </w:rPr>
        <w:t>万元。</w:t>
      </w:r>
    </w:p>
    <w:p w:rsidR="0014157C" w:rsidRDefault="00AB498B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55DF0">
        <w:rPr>
          <w:rFonts w:ascii="仿宋_GB2312" w:eastAsia="仿宋_GB2312" w:hint="eastAsia"/>
          <w:sz w:val="32"/>
          <w:szCs w:val="32"/>
        </w:rPr>
        <w:t>净资产期末余额</w:t>
      </w:r>
      <w:r w:rsidR="00B27D79">
        <w:rPr>
          <w:rFonts w:ascii="仿宋_GB2312" w:eastAsia="仿宋_GB2312" w:hint="eastAsia"/>
          <w:sz w:val="32"/>
          <w:szCs w:val="32"/>
        </w:rPr>
        <w:t>47285</w:t>
      </w:r>
      <w:r w:rsidR="00855DF0">
        <w:rPr>
          <w:rFonts w:ascii="仿宋_GB2312" w:eastAsia="仿宋_GB2312" w:hint="eastAsia"/>
          <w:sz w:val="32"/>
          <w:szCs w:val="32"/>
        </w:rPr>
        <w:t>万元。其中，一般公共预算结转结余28375万元，政府性基金结转2129万元，预算稳定调节基金</w:t>
      </w:r>
      <w:r w:rsidR="00B27D79">
        <w:rPr>
          <w:rFonts w:ascii="仿宋_GB2312" w:eastAsia="仿宋_GB2312" w:hint="eastAsia"/>
          <w:sz w:val="32"/>
          <w:szCs w:val="32"/>
        </w:rPr>
        <w:t>15831</w:t>
      </w:r>
      <w:r w:rsidR="00855DF0">
        <w:rPr>
          <w:rFonts w:ascii="仿宋_GB2312" w:eastAsia="仿宋_GB2312" w:hint="eastAsia"/>
          <w:sz w:val="32"/>
          <w:szCs w:val="32"/>
        </w:rPr>
        <w:t>万元，预算周转金950万元。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（二）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预备费使用情况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年初预算安排预备费11000万元，实际支出11000万元，主要用于公共安全、</w:t>
      </w:r>
      <w:r>
        <w:rPr>
          <w:rFonts w:ascii="仿宋_GB2312" w:eastAsia="仿宋_GB2312" w:hint="eastAsia"/>
          <w:color w:val="000000"/>
          <w:sz w:val="32"/>
          <w:szCs w:val="32"/>
        </w:rPr>
        <w:t>教育、农业、支持企业发展方面。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（三）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预算稳定调节基金情况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初预算稳定调节基金23097万元，预算执行过程中，补充预算稳定调节基金25179万元（清理收回财政专户及部门结转结余资金等），调整预算时动用预算稳定调节基金32316万元，截止2016年底预算稳定调节基金15960万元。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（四）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预算周转金情况</w:t>
      </w:r>
    </w:p>
    <w:p w:rsidR="0014157C" w:rsidRDefault="00855DF0" w:rsidP="00AB49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2016年初预算周转金950万元，预算执行过程中，未补充预算周转金，截止2016年底预算周转金950万元。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（五）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一般公共预算转移支付情况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2016年累计收到一般转移支付资金191843万元，其中：财力性转移支付35290万元,定向转移支付156553万元，支出133139万元。其中:教育支出11846万元、文化体育与传媒支出961万元、社会保障和就业支出19962万元、医疗卫生支出26741万元、节能环保支出46957万元、农林水支出10119万元、交通运输支出4420万元。 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（六）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预算安排重点项目执行情况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优先保障和发展教育事业。2016年投入教育资金130237万元，其中：投入资金7192万元，用于确保全市中小学校运转；投入资金2071万元，继续落实十二年免费教育政策；投入资金9795万元，重点支持了一中西校区、中小学校舍及幼儿园改造、新建第七实验小学等教育工程项目建设，全市教育环境进一步优化。二是推进卫生服务均等化。2016年投入医疗卫生方面资金69032万元，其中：全面落实城乡居民医保政策，兑现住院及门诊补贴资金26900万元，兑现基层卫生医疗机构基本药物零差价补贴</w:t>
      </w:r>
      <w:r>
        <w:rPr>
          <w:rFonts w:ascii="仿宋_GB2312" w:eastAsia="仿宋_GB2312" w:hint="eastAsia"/>
          <w:spacing w:val="-10"/>
          <w:sz w:val="32"/>
          <w:szCs w:val="32"/>
        </w:rPr>
        <w:t>5934万元</w:t>
      </w:r>
      <w:r>
        <w:rPr>
          <w:rFonts w:ascii="仿宋_GB2312" w:eastAsia="仿宋_GB2312" w:hint="eastAsia"/>
          <w:sz w:val="32"/>
          <w:szCs w:val="32"/>
        </w:rPr>
        <w:t>，提升</w:t>
      </w:r>
      <w:r w:rsidR="00AC624C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城乡医疗惠民能力。三是全面提高社会保障水平。2016年投入社会保障资金61590万元，其中：落实城乡居民社会养老保险金16600万元，参保人数达到32.5万人，切实做到全市居民老有所养；落实城乡低保资金4250万元，发放五保户</w:t>
      </w:r>
      <w:r>
        <w:rPr>
          <w:rFonts w:ascii="仿宋_GB2312" w:eastAsia="仿宋_GB2312" w:hint="eastAsia"/>
          <w:sz w:val="32"/>
          <w:szCs w:val="32"/>
        </w:rPr>
        <w:lastRenderedPageBreak/>
        <w:t>供养资金1150万元，实现了低收入家庭应保尽保；投入80岁以上老人高龄津贴1425万元；投入棚户区建设资金4105万元，改造住房6046套户，改善了棚户区家庭的住房条件。四是提升“三保”能力。2016年工资福利性支出198256万元，确保了工资、福利及时足额发放，维护了社会稳定；积极推进机关事业单位人员养老保险制度改革，落实公务员工资调整改革，进一步规范了机关津贴补贴，建立了保障工资落实长效机制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是全力推进美丽乡村建设，成立迁安市助农乡村建设开发有限公司，注册资金5000万元，高标准打造省级美丽乡村重点项目长城绿道片区，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建设片区内省级重点村26个，片区外重点村25个，51个重点村全部完成年度建设任务。六是促进农民增收，全面落实中央和省各项惠民补贴政策，兑现农民粮食直补和综合直补资金4876万元，切实让农民得到实惠。七是支持农业和农村发展，支出资金2168万元，深入推进农村环卫保障和农村改厕等工程，切实改善农村人居环境，提高农村地区的宜居度；重点保障现代农业项目和绿化攻坚项目建设，抓好农业重点开发项目，支持农村经济快速发展。八是落实村级组织经费保障。支出资金4705万元，保证了村干部工资、大学生村官工资正常发放，维护了农村社会稳定。</w:t>
      </w:r>
    </w:p>
    <w:p w:rsidR="0014157C" w:rsidRPr="00AB498B" w:rsidRDefault="00AB498B" w:rsidP="00AB498B">
      <w:pPr>
        <w:pStyle w:val="TimesNewRoman2850"/>
        <w:spacing w:line="560" w:lineRule="exact"/>
        <w:ind w:firstLineChars="200" w:firstLine="643"/>
        <w:rPr>
          <w:rFonts w:ascii="楷体_GB2312" w:hAnsi="仿宋_GB2312" w:cs="仿宋_GB2312"/>
          <w:b/>
          <w:bCs/>
          <w:color w:val="auto"/>
          <w:szCs w:val="32"/>
        </w:rPr>
      </w:pPr>
      <w:r w:rsidRPr="00AB498B">
        <w:rPr>
          <w:rFonts w:ascii="楷体_GB2312" w:hAnsi="仿宋_GB2312" w:cs="仿宋_GB2312" w:hint="eastAsia"/>
          <w:b/>
          <w:bCs/>
          <w:color w:val="auto"/>
          <w:szCs w:val="32"/>
        </w:rPr>
        <w:t>（七）</w:t>
      </w:r>
      <w:r w:rsidR="00855DF0" w:rsidRPr="00AB498B">
        <w:rPr>
          <w:rFonts w:ascii="楷体_GB2312" w:hAnsi="仿宋_GB2312" w:cs="仿宋_GB2312" w:hint="eastAsia"/>
          <w:b/>
          <w:bCs/>
          <w:color w:val="auto"/>
          <w:szCs w:val="32"/>
        </w:rPr>
        <w:t>地方债券资金使用情况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2016年省财政厅分5批次下达我市置换债券393410万元。其中：按债券类型分，一般债务置换债券266929万元，专项债务置换债券126481万元；按债券发行方式分，定向发行置换债券</w:t>
      </w:r>
      <w:r>
        <w:rPr>
          <w:rFonts w:ascii="仿宋_GB2312" w:eastAsia="仿宋_GB2312" w:hint="eastAsia"/>
          <w:sz w:val="32"/>
          <w:szCs w:val="32"/>
        </w:rPr>
        <w:lastRenderedPageBreak/>
        <w:t>181393万元，公开发行置换债券212017万元。以上债券置换资金，我市均已按照《预算法》等有关置换债券资金管理要求拨付完毕。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省财政厅下达我市新增地方政府债券资金29000万元，其中：一般新增债券29000万元。其中：用于交通基础设施建设14000万元、用于教育基础设施建设7500万元、用于改善环境基础设施建设6400万元、用于市政基础设施建设1100万元。</w:t>
      </w:r>
    </w:p>
    <w:p w:rsidR="0014157C" w:rsidRPr="00AB498B" w:rsidRDefault="00AB498B" w:rsidP="00AB498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AB498B">
        <w:rPr>
          <w:rFonts w:ascii="黑体" w:eastAsia="黑体" w:hint="eastAsia"/>
          <w:sz w:val="32"/>
          <w:szCs w:val="32"/>
        </w:rPr>
        <w:t>三、</w:t>
      </w:r>
      <w:r w:rsidR="00855DF0" w:rsidRPr="00AB498B">
        <w:rPr>
          <w:rFonts w:ascii="黑体" w:eastAsia="黑体" w:hint="eastAsia"/>
          <w:sz w:val="32"/>
          <w:szCs w:val="32"/>
        </w:rPr>
        <w:t>2016年预算收支存在的主要问题</w:t>
      </w:r>
    </w:p>
    <w:p w:rsidR="0014157C" w:rsidRDefault="00855D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决算情况看，2016年全市预算执行情况良好，同时也存在一些不容忽视的问题。一是财政收支矛盾十分突出。财政收入增速放缓，保障民生等刚性支出不断增加，政府性债务进入偿债高峰，收支压力不断加大。二是部分资金使用绩效不高，支出进度不尽理想。三是依法理财意识亟待提高，财经秩序有待进一步规范。对此，我们将高度重视，通过不断加快发展、深化改革和规范管理等手段，着力加以解决。</w:t>
      </w:r>
    </w:p>
    <w:p w:rsidR="0014157C" w:rsidRDefault="00AB498B" w:rsidP="00AB498B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统筹资金，保障重点支出。</w:t>
      </w:r>
      <w:r w:rsidR="00855DF0">
        <w:rPr>
          <w:rFonts w:ascii="仿宋_GB2312" w:eastAsia="仿宋_GB2312" w:hint="eastAsia"/>
          <w:sz w:val="32"/>
          <w:szCs w:val="32"/>
        </w:rPr>
        <w:t>坚持预算的法定性和严肃性，预算未安排的事项一律不得支出，年度预算执行中除救灾等应急支出通过动支预备费解决外，一般不再出台增加当年支出的政策。牢固树立过“紧日子”思想，坚持集中财力办大事，全力保工资、保</w:t>
      </w:r>
      <w:r w:rsidR="00334021">
        <w:rPr>
          <w:rFonts w:ascii="仿宋_GB2312" w:eastAsia="仿宋_GB2312" w:hint="eastAsia"/>
          <w:sz w:val="32"/>
          <w:szCs w:val="32"/>
        </w:rPr>
        <w:t>运转、保民生。积极争取中央、省政策（试点）和项目资金，用于发展与</w:t>
      </w:r>
      <w:r w:rsidR="00855DF0">
        <w:rPr>
          <w:rFonts w:ascii="仿宋_GB2312" w:eastAsia="仿宋_GB2312" w:hint="eastAsia"/>
          <w:sz w:val="32"/>
          <w:szCs w:val="32"/>
        </w:rPr>
        <w:t>建设</w:t>
      </w:r>
      <w:r w:rsidR="00334021">
        <w:rPr>
          <w:rFonts w:ascii="仿宋_GB2312" w:eastAsia="仿宋_GB2312" w:hint="eastAsia"/>
          <w:sz w:val="32"/>
          <w:szCs w:val="32"/>
        </w:rPr>
        <w:t>性</w:t>
      </w:r>
      <w:r w:rsidR="00855DF0">
        <w:rPr>
          <w:rFonts w:ascii="仿宋_GB2312" w:eastAsia="仿宋_GB2312" w:hint="eastAsia"/>
          <w:sz w:val="32"/>
          <w:szCs w:val="32"/>
        </w:rPr>
        <w:t>项目。加强结转结余资金管理，盘活闲置和沉淀资金；加快预算执行，严格控制新增财政存量资金</w:t>
      </w:r>
      <w:bookmarkStart w:id="1" w:name="OLE_LINK1"/>
      <w:r w:rsidR="00855DF0">
        <w:rPr>
          <w:rFonts w:ascii="仿宋_GB2312" w:eastAsia="仿宋_GB2312" w:hint="eastAsia"/>
          <w:sz w:val="32"/>
          <w:szCs w:val="32"/>
        </w:rPr>
        <w:t>，努力实现财政资金效益最大化</w:t>
      </w:r>
      <w:bookmarkEnd w:id="1"/>
      <w:r w:rsidR="00855DF0">
        <w:rPr>
          <w:rFonts w:ascii="仿宋_GB2312" w:eastAsia="仿宋_GB2312" w:hint="eastAsia"/>
          <w:sz w:val="32"/>
          <w:szCs w:val="32"/>
        </w:rPr>
        <w:t>。</w:t>
      </w:r>
    </w:p>
    <w:p w:rsidR="0014157C" w:rsidRDefault="00AB498B" w:rsidP="00AB498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lastRenderedPageBreak/>
        <w:t>（二）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改革创新，支持经济发展。</w:t>
      </w:r>
      <w:r w:rsidR="00855DF0">
        <w:rPr>
          <w:rFonts w:ascii="仿宋_GB2312" w:eastAsia="仿宋_GB2312" w:hint="eastAsia"/>
          <w:sz w:val="32"/>
          <w:szCs w:val="32"/>
        </w:rPr>
        <w:t>全面落实国家支持企业各项优惠政策，进一步清理规范行政事业性收费和政府性基金，支持实体经济加快发展。实施推进企业上市、科技型中小企业发展、小微企业创业、创新等激励政策，促进各类企业成长壮大。积极创新财政投入方式，通过PPP模式、股权投资、财政后补助等方式，撬动金融资本、社会资本投入，发挥财政资金乘数效应。</w:t>
      </w:r>
    </w:p>
    <w:p w:rsidR="0014157C" w:rsidRDefault="00AB498B" w:rsidP="00AB498B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（三）</w:t>
      </w:r>
      <w:r w:rsidR="00855DF0" w:rsidRPr="00AB498B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规范管理，提高理财水平。</w:t>
      </w:r>
      <w:r w:rsidR="00855DF0">
        <w:rPr>
          <w:rFonts w:ascii="仿宋_GB2312" w:eastAsia="仿宋_GB2312" w:hint="eastAsia"/>
          <w:sz w:val="32"/>
          <w:szCs w:val="32"/>
        </w:rPr>
        <w:t>深入推进绩效预算管理改革，建立财政中期规划，进一步提高预算编制水平。加强政府性债务管控，严格执行限额管理，探索运用PPP模式、资产变现等方式消化存量债务。加强对重大政策落实及重点资金使用情况的绩效监督，健全长效机制。进一步加强财政预决算、部门预决算、“三公”经费预决算信息公开，主动接受社会监督，努力打造阳光财政。</w:t>
      </w:r>
    </w:p>
    <w:p w:rsidR="0014157C" w:rsidRDefault="0014157C">
      <w:pPr>
        <w:spacing w:line="560" w:lineRule="exact"/>
        <w:ind w:right="32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14157C" w:rsidRDefault="0014157C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sectPr w:rsidR="0014157C" w:rsidSect="001C5E06">
      <w:footerReference w:type="default" r:id="rId7"/>
      <w:headerReference w:type="first" r:id="rId8"/>
      <w:footerReference w:type="first" r:id="rId9"/>
      <w:pgSz w:w="11906" w:h="16838"/>
      <w:pgMar w:top="2098" w:right="1418" w:bottom="1985" w:left="1418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4F" w:rsidRDefault="009A394F" w:rsidP="0014157C">
      <w:r>
        <w:separator/>
      </w:r>
    </w:p>
  </w:endnote>
  <w:endnote w:type="continuationSeparator" w:id="0">
    <w:p w:rsidR="009A394F" w:rsidRDefault="009A394F" w:rsidP="0014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C" w:rsidRDefault="00047A37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8" type="#_x0000_t202" style="position:absolute;left:0;text-align:left;margin-left:62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14157C" w:rsidRDefault="00047A37">
                <w:pPr>
                  <w:pStyle w:val="a4"/>
                  <w:jc w:val="center"/>
                </w:pPr>
                <w:r>
                  <w:fldChar w:fldCharType="begin"/>
                </w:r>
                <w:r w:rsidR="00855DF0">
                  <w:instrText>PAGE   \* MERGEFORMAT</w:instrText>
                </w:r>
                <w:r>
                  <w:fldChar w:fldCharType="separate"/>
                </w:r>
                <w:r w:rsidR="00334021" w:rsidRPr="00334021">
                  <w:rPr>
                    <w:noProof/>
                    <w:lang w:val="zh-CN"/>
                  </w:rPr>
                  <w:t>-</w:t>
                </w:r>
                <w:r w:rsidR="00334021">
                  <w:rPr>
                    <w:noProof/>
                  </w:rPr>
                  <w:t xml:space="preserve"> 7 -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14157C" w:rsidRDefault="001415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C" w:rsidRDefault="00047A3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4097" type="#_x0000_t202" style="position:absolute;margin-left:624pt;margin-top:0;width:2in;height:2in;z-index:2;mso-wrap-style:none;mso-position-horizontal:outside;mso-position-horizontal-relative:margin" o:preferrelative="t" filled="f" stroked="f">
          <v:textbox style="mso-fit-shape-to-text:t" inset="0,0,0,0">
            <w:txbxContent>
              <w:p w:rsidR="0014157C" w:rsidRDefault="00047A3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55DF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34021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4F" w:rsidRDefault="009A394F" w:rsidP="0014157C">
      <w:r>
        <w:separator/>
      </w:r>
    </w:p>
  </w:footnote>
  <w:footnote w:type="continuationSeparator" w:id="0">
    <w:p w:rsidR="009A394F" w:rsidRDefault="009A394F" w:rsidP="0014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7C" w:rsidRDefault="0014157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57C"/>
    <w:rsid w:val="00047A37"/>
    <w:rsid w:val="00094D81"/>
    <w:rsid w:val="0014157C"/>
    <w:rsid w:val="00185956"/>
    <w:rsid w:val="001C5E06"/>
    <w:rsid w:val="00334021"/>
    <w:rsid w:val="0062164A"/>
    <w:rsid w:val="006710DB"/>
    <w:rsid w:val="00686FCD"/>
    <w:rsid w:val="006D35D9"/>
    <w:rsid w:val="007F4E58"/>
    <w:rsid w:val="00855DF0"/>
    <w:rsid w:val="00857AE3"/>
    <w:rsid w:val="00960CAE"/>
    <w:rsid w:val="009A394F"/>
    <w:rsid w:val="00AB498B"/>
    <w:rsid w:val="00AC624C"/>
    <w:rsid w:val="00B27D79"/>
    <w:rsid w:val="00B4752C"/>
    <w:rsid w:val="00C5087B"/>
    <w:rsid w:val="00ED24C0"/>
    <w:rsid w:val="00F57656"/>
    <w:rsid w:val="00F702AC"/>
    <w:rsid w:val="05BD3220"/>
    <w:rsid w:val="12140B6E"/>
    <w:rsid w:val="44676E74"/>
    <w:rsid w:val="4C521AED"/>
    <w:rsid w:val="65066C74"/>
    <w:rsid w:val="6C9A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1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">
    <w:name w:val="Char Char Char Char Char Char"/>
    <w:basedOn w:val="a"/>
    <w:qFormat/>
    <w:rsid w:val="0014157C"/>
  </w:style>
  <w:style w:type="paragraph" w:customStyle="1" w:styleId="TimesNewRoman285">
    <w:name w:val="样式 (西文) Times New Roman (中文) 楷体 行距: 固定值 28.5 磅"/>
    <w:basedOn w:val="a"/>
    <w:qFormat/>
    <w:rsid w:val="0014157C"/>
    <w:pPr>
      <w:spacing w:line="570" w:lineRule="exact"/>
      <w:ind w:firstLineChars="196" w:firstLine="627"/>
    </w:pPr>
    <w:rPr>
      <w:rFonts w:eastAsia="楷体_GB2312" w:cs="宋体"/>
      <w:sz w:val="32"/>
    </w:rPr>
  </w:style>
  <w:style w:type="paragraph" w:customStyle="1" w:styleId="TimesNewRoman2850">
    <w:name w:val="样式 (西文) Times New Roman (中文) 楷体 黑色 行距: 固定值 28.5 磅"/>
    <w:basedOn w:val="a"/>
    <w:qFormat/>
    <w:rsid w:val="0014157C"/>
    <w:pPr>
      <w:spacing w:line="570" w:lineRule="exact"/>
      <w:ind w:firstLineChars="196" w:firstLine="627"/>
    </w:pPr>
    <w:rPr>
      <w:rFonts w:eastAsia="楷体_GB2312" w:cs="宋体"/>
      <w:color w:val="000000"/>
      <w:sz w:val="32"/>
    </w:rPr>
  </w:style>
  <w:style w:type="character" w:customStyle="1" w:styleId="TimesNewRoman">
    <w:name w:val="样式 (西文) Times New Roman (中文) 楷体 黑色"/>
    <w:qFormat/>
    <w:rsid w:val="0014157C"/>
    <w:rPr>
      <w:rFonts w:ascii="Times New Roman" w:eastAsia="楷体_GB2312" w:hAnsi="Times New Roman"/>
      <w:color w:val="000000"/>
    </w:rPr>
  </w:style>
  <w:style w:type="character" w:customStyle="1" w:styleId="Char1">
    <w:name w:val="页眉 Char"/>
    <w:basedOn w:val="a0"/>
    <w:link w:val="a5"/>
    <w:uiPriority w:val="99"/>
    <w:qFormat/>
    <w:rsid w:val="0014157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15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141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迁安市人民政府</dc:title>
  <dc:creator>xb21cn</dc:creator>
  <cp:lastModifiedBy>Administrator</cp:lastModifiedBy>
  <cp:revision>12</cp:revision>
  <cp:lastPrinted>2017-07-25T08:14:00Z</cp:lastPrinted>
  <dcterms:created xsi:type="dcterms:W3CDTF">2017-07-16T03:30:00Z</dcterms:created>
  <dcterms:modified xsi:type="dcterms:W3CDTF">2017-07-25T08:26:00Z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